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media/image3.jpeg" ContentType="image/jpeg"/>
  <Override PartName="/word/media/image4.png" ContentType="image/png"/>
  <Override PartName="/word/media/image5.svg" ContentType="image/sv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eastAsia="Times New Roman" w:cs="Calibri Light"/>
          <w:b/>
          <w:bCs/>
          <w:kern w:val="0"/>
          <w:lang w:eastAsia="pl-PL" w:bidi="ar-SA"/>
        </w:rPr>
      </w:pPr>
      <w:r>
        <w:rPr>
          <w:rFonts w:ascii="Lato" w:hAnsi="Lato"/>
          <w:sz w:val="20"/>
          <w:szCs w:val="20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/>
          <w:b/>
          <w:bCs/>
          <w:kern w:val="0"/>
          <w:sz w:val="20"/>
          <w:szCs w:val="20"/>
          <w:lang w:eastAsia="pl-PL" w:bidi="ar-SA"/>
        </w:rPr>
        <w:t xml:space="preserve">Briefing prasowy w WOAK-u 16 </w:t>
      </w:r>
      <w:r>
        <w:rPr>
          <w:rFonts w:eastAsia="Times New Roman" w:cs="Calibri Light" w:ascii="Lato" w:hAnsi="Lato"/>
          <w:b/>
          <w:bCs/>
          <w:kern w:val="0"/>
          <w:sz w:val="20"/>
          <w:szCs w:val="20"/>
          <w:lang w:eastAsia="pl-PL" w:bidi="ar-SA"/>
        </w:rPr>
        <w:t xml:space="preserve">kwietnia </w:t>
      </w:r>
      <w:r>
        <w:rPr>
          <w:rFonts w:eastAsia="Times New Roman" w:cs="Calibri Light" w:ascii="Lato" w:hAnsi="Lato"/>
          <w:b/>
          <w:bCs/>
          <w:kern w:val="0"/>
          <w:sz w:val="20"/>
          <w:szCs w:val="20"/>
          <w:lang w:eastAsia="pl-PL" w:bidi="ar-SA"/>
        </w:rPr>
        <w:t>2025</w:t>
      </w:r>
      <w:r>
        <w:rPr>
          <w:rFonts w:eastAsia="Times New Roman" w:cs="Calibri Light" w:ascii="Lato" w:hAnsi="Lato"/>
          <w:kern w:val="0"/>
          <w:sz w:val="20"/>
          <w:szCs w:val="20"/>
          <w:lang w:eastAsia="pl-PL" w:bidi="ar-SA"/>
        </w:rPr>
        <w:t> </w:t>
      </w:r>
      <w:r>
        <w:rPr>
          <w:rFonts w:eastAsia="Times New Roman" w:cs="Calibri Light" w:ascii="Lato" w:hAnsi="Lato"/>
          <w:kern w:val="0"/>
          <w:sz w:val="20"/>
          <w:szCs w:val="20"/>
          <w:lang w:eastAsia="pl-PL" w:bidi="ar-SA"/>
        </w:rPr>
        <w:t>r.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textAlignment w:val="baseline"/>
        <w:rPr>
          <w:rFonts w:ascii="Lato" w:hAnsi="Lato" w:eastAsia="Times New Roman" w:cs="Segoe UI"/>
          <w:kern w:val="0"/>
          <w:sz w:val="20"/>
          <w:szCs w:val="20"/>
          <w:lang w:eastAsia="pl-PL" w:bidi="ar-SA"/>
        </w:rPr>
      </w:pPr>
      <w:r>
        <w:rPr>
          <w:rFonts w:eastAsia="Times New Roman" w:cs="Segoe UI" w:ascii="Lato" w:hAnsi="Lato"/>
          <w:kern w:val="0"/>
          <w:sz w:val="20"/>
          <w:szCs w:val="20"/>
          <w:lang w:eastAsia="pl-PL" w:bidi="ar-SA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textAlignment w:val="baseline"/>
        <w:rPr>
          <w:rFonts w:ascii="Lato" w:hAnsi="Lato" w:eastAsia="Times New Roman" w:cs="Segoe UI"/>
          <w:kern w:val="0"/>
          <w:sz w:val="20"/>
          <w:szCs w:val="20"/>
          <w:lang w:eastAsia="pl-PL" w:bidi="ar-SA"/>
        </w:rPr>
      </w:pPr>
      <w:r>
        <w:rPr>
          <w:rFonts w:eastAsia="Times New Roman" w:cs="Segoe UI" w:ascii="Lato" w:hAnsi="Lato"/>
          <w:kern w:val="0"/>
          <w:sz w:val="20"/>
          <w:szCs w:val="20"/>
          <w:lang w:eastAsia="pl-PL" w:bidi="ar-SA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Segoe UI" w:ascii="Lato" w:hAnsi="Lato"/>
          <w:kern w:val="0"/>
          <w:sz w:val="20"/>
          <w:szCs w:val="20"/>
          <w:lang w:eastAsia="pl-PL" w:bidi="ar-SA"/>
        </w:rPr>
        <w:t>Czekamy na zgłoszenia do Złotych Młynków!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ascii="Lato" w:hAnsi="Lato" w:eastAsia="Times New Roman" w:cs="Calibri Light" w:cstheme="majorHAnsi"/>
          <w:color w:val="1D1C1D"/>
          <w:kern w:val="0"/>
          <w:sz w:val="20"/>
          <w:szCs w:val="20"/>
          <w:shd w:fill="FFFFFF" w:val="clear"/>
          <w:lang w:eastAsia="pl-PL" w:bidi="ar-SA"/>
        </w:rPr>
      </w:pPr>
      <w:r>
        <w:rPr>
          <w:rFonts w:eastAsia="Times New Roman" w:cs="Calibri Light" w:cstheme="majorHAnsi" w:ascii="Lato" w:hAnsi="Lato"/>
          <w:color w:val="1D1C1D"/>
          <w:kern w:val="0"/>
          <w:sz w:val="20"/>
          <w:szCs w:val="20"/>
          <w:shd w:fill="FFFFFF" w:val="clear"/>
          <w:lang w:eastAsia="pl-PL" w:bidi="ar-SA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kern w:val="0"/>
          <w:sz w:val="20"/>
          <w:szCs w:val="20"/>
          <w:lang w:eastAsia="pl-PL" w:bidi="ar-SA"/>
        </w:rPr>
        <w:t>Złote Młynki Kujawsko-Pomorskie Nagrody Animacji Kultury będą wręczane w tym roku już po</w:t>
        <w:br/>
        <w:t xml:space="preserve">raz trzeci. To nagroda, której </w:t>
      </w: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celem jest docenienie osób, które na co dzień tworzą lub wspierają działania kulturalne, pracując w instytucjach kultury, działając w organizacjach pozarządowych lub w grupach nieformalnych. Pomysłodawcami są Łukasz Wudarski i Katarzyna Pągowska – dyrektorski duet WOAK-u. To </w:t>
      </w:r>
      <w:r>
        <w:rPr>
          <w:rFonts w:eastAsia="Times New Roman" w:cs="Calibri Light" w:ascii="Lato" w:hAnsi="Lato" w:cstheme="majorHAnsi"/>
          <w:kern w:val="0"/>
          <w:sz w:val="20"/>
          <w:szCs w:val="20"/>
          <w:lang w:eastAsia="pl-PL" w:bidi="ar-SA"/>
        </w:rPr>
        <w:t>pierwsza i jedyna taka nagroda w regionie,</w:t>
      </w:r>
      <w:r>
        <w:rPr>
          <w:rFonts w:eastAsia="Times New Roman" w:cs="Times New Roman" w:ascii="Lato" w:hAnsi="Lato"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 </w:t>
      </w: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shd w:fill="FFFFFF" w:val="clear"/>
          <w:lang w:eastAsia="pl-PL" w:bidi="ar-SA"/>
        </w:rPr>
        <w:t>w której nagradzane (także finansowo)</w:t>
        <w:br/>
        <w:t>są osoby, które integrują lokalne społeczności, inspirują mieszkańców do własnej twórczości, pobudzają kreatywność, włączają osoby wykluczane z życia społecznego i sprawiają, że dzięki kulturze coś wokół nich się zmienia.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kern w:val="0"/>
          <w:sz w:val="20"/>
          <w:szCs w:val="20"/>
          <w:lang w:eastAsia="pl-PL" w:bidi="ar-SA"/>
        </w:rPr>
        <w:t>W tym roku WOAK czeka na zgłoszenia w aż pięciu kategoriach:</w:t>
      </w:r>
    </w:p>
    <w:p>
      <w:pPr>
        <w:pStyle w:val="Normal"/>
        <w:widowControl/>
        <w:numPr>
          <w:ilvl w:val="1"/>
          <w:numId w:val="1"/>
        </w:numPr>
        <w:suppressAutoHyphens w:val="false"/>
        <w:bidi w:val="0"/>
        <w:spacing w:lineRule="auto" w:line="360" w:before="0" w:after="0"/>
        <w:rPr>
          <w:rFonts w:ascii="Lato" w:hAnsi="Lato"/>
          <w:b/>
          <w:bCs/>
          <w:sz w:val="20"/>
          <w:szCs w:val="20"/>
        </w:rPr>
      </w:pPr>
      <w:r>
        <w:rPr>
          <w:rFonts w:eastAsia="Calibri" w:cs="" w:ascii="Lato" w:hAnsi="Lato" w:cstheme="minorBidi" w:eastAsiaTheme="minorHAnsi"/>
          <w:b/>
          <w:bCs/>
          <w:sz w:val="20"/>
          <w:szCs w:val="20"/>
          <w:lang w:eastAsia="en-US" w:bidi="ar-SA"/>
          <w14:ligatures w14:val="standardContextual"/>
        </w:rPr>
        <w:t>Animator/Animatorka Kultury – nagroda im. Agnieszki Dąbrowskiej, Nagroda Marszałka Województwa Kujawsko-Pomorskiego.</w:t>
      </w:r>
    </w:p>
    <w:p>
      <w:pPr>
        <w:pStyle w:val="Normal"/>
        <w:widowControl/>
        <w:numPr>
          <w:ilvl w:val="1"/>
          <w:numId w:val="1"/>
        </w:numPr>
        <w:suppressAutoHyphens w:val="false"/>
        <w:bidi w:val="0"/>
        <w:spacing w:lineRule="auto" w:line="360" w:before="0" w:after="0"/>
        <w:rPr>
          <w:rFonts w:ascii="Lato" w:hAnsi="Lato"/>
          <w:b/>
          <w:bCs/>
          <w:sz w:val="20"/>
          <w:szCs w:val="20"/>
        </w:rPr>
      </w:pPr>
      <w:r>
        <w:rPr>
          <w:rFonts w:eastAsia="Calibri" w:cs="" w:ascii="Lato" w:hAnsi="Lato" w:cstheme="minorBidi" w:eastAsiaTheme="minorHAnsi"/>
          <w:b/>
          <w:bCs/>
          <w:sz w:val="20"/>
          <w:szCs w:val="20"/>
          <w:lang w:eastAsia="en-US" w:bidi="ar-SA"/>
          <w14:ligatures w14:val="standardContextual"/>
        </w:rPr>
        <w:t xml:space="preserve">Nadzieja animacji kultury, Nagroda pod patronatem Przewodniczącej Sejmiku Województwa Kujawsko-Pomorskiego. </w:t>
      </w:r>
    </w:p>
    <w:p>
      <w:pPr>
        <w:pStyle w:val="Normal"/>
        <w:widowControl/>
        <w:numPr>
          <w:ilvl w:val="1"/>
          <w:numId w:val="1"/>
        </w:numPr>
        <w:suppressAutoHyphens w:val="false"/>
        <w:bidi w:val="0"/>
        <w:spacing w:lineRule="auto" w:line="360" w:before="0" w:after="0"/>
        <w:rPr>
          <w:rFonts w:ascii="Lato" w:hAnsi="Lato"/>
          <w:b/>
          <w:bCs/>
          <w:sz w:val="20"/>
          <w:szCs w:val="20"/>
        </w:rPr>
      </w:pPr>
      <w:r>
        <w:rPr>
          <w:rFonts w:eastAsia="Calibri" w:cs="" w:ascii="Lato" w:hAnsi="Lato" w:cstheme="minorBidi" w:eastAsiaTheme="minorHAnsi"/>
          <w:b/>
          <w:bCs/>
          <w:sz w:val="20"/>
          <w:szCs w:val="20"/>
          <w:lang w:eastAsia="en-US" w:bidi="ar-SA"/>
          <w14:ligatures w14:val="standardContextual"/>
        </w:rPr>
        <w:t xml:space="preserve">Zespół. </w:t>
      </w:r>
    </w:p>
    <w:p>
      <w:pPr>
        <w:pStyle w:val="Normal"/>
        <w:widowControl/>
        <w:numPr>
          <w:ilvl w:val="1"/>
          <w:numId w:val="1"/>
        </w:numPr>
        <w:suppressAutoHyphens w:val="false"/>
        <w:bidi w:val="0"/>
        <w:spacing w:lineRule="auto" w:line="360" w:before="0" w:after="0"/>
        <w:rPr>
          <w:rFonts w:ascii="Lato" w:hAnsi="Lato"/>
          <w:b/>
          <w:bCs/>
          <w:sz w:val="20"/>
          <w:szCs w:val="20"/>
        </w:rPr>
      </w:pPr>
      <w:r>
        <w:rPr>
          <w:rFonts w:eastAsia="Calibri" w:cs="" w:ascii="Lato" w:hAnsi="Lato" w:cstheme="minorBidi" w:eastAsiaTheme="minorHAnsi"/>
          <w:b/>
          <w:bCs/>
          <w:sz w:val="20"/>
          <w:szCs w:val="20"/>
          <w:lang w:eastAsia="en-US" w:bidi="ar-SA"/>
          <w14:ligatures w14:val="standardContextual"/>
        </w:rPr>
        <w:t xml:space="preserve">Mecenas. </w:t>
      </w:r>
    </w:p>
    <w:p>
      <w:pPr>
        <w:pStyle w:val="Normal"/>
        <w:widowControl/>
        <w:numPr>
          <w:ilvl w:val="1"/>
          <w:numId w:val="1"/>
        </w:numPr>
        <w:suppressAutoHyphens w:val="false"/>
        <w:bidi w:val="0"/>
        <w:spacing w:lineRule="auto" w:line="360" w:before="0" w:after="0"/>
        <w:rPr>
          <w:rFonts w:ascii="Lato" w:hAnsi="Lato"/>
          <w:b/>
          <w:bCs/>
          <w:sz w:val="20"/>
          <w:szCs w:val="20"/>
        </w:rPr>
      </w:pPr>
      <w:r>
        <w:rPr>
          <w:rFonts w:eastAsia="Calibri" w:cs="Calibri Light" w:ascii="Lato" w:hAnsi="Lato" w:cstheme="majorHAnsi" w:eastAsiaTheme="minorHAnsi"/>
          <w:b/>
          <w:bCs/>
          <w:color w:val="000000"/>
          <w:sz w:val="20"/>
          <w:szCs w:val="20"/>
          <w:lang w:eastAsia="en-US" w:bidi="ar-SA"/>
          <w14:ligatures w14:val="standardContextual"/>
        </w:rPr>
        <w:t>Manager/Managerka kultury, Nagroda Marszałka Województwa Kujawsko-Pomorskiego.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rPr>
          <w:rFonts w:ascii="Lato" w:hAnsi="Lato"/>
          <w:sz w:val="20"/>
          <w:szCs w:val="20"/>
        </w:rPr>
      </w:pPr>
      <w:r>
        <w:rPr>
          <w:rFonts w:eastAsia="Calibri" w:cs="Calibri Light" w:ascii="Lato" w:hAnsi="Lato" w:cstheme="majorHAnsi" w:eastAsiaTheme="minorHAnsi"/>
          <w:color w:val="000000"/>
          <w:sz w:val="20"/>
          <w:szCs w:val="20"/>
          <w:lang w:eastAsia="en-US" w:bidi="ar-SA"/>
          <w14:ligatures w14:val="standardContextual"/>
        </w:rPr>
        <w:t xml:space="preserve">Ostatnia z nich będzie wręczana po raz pierwszy. 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auto" w:line="360" w:before="0" w:after="0"/>
        <w:ind w:firstLine="397" w:left="0" w:right="0"/>
        <w:jc w:val="left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Zgłoszenia za pośrednictwem formularza online może dokonać każda osoba – współpracownik, współpracowniczka, uczestnik lub uczestniczka działań kulturalnych, lokalny urzędnik czy urzędniczka, a nawet sama osoba, której dotyczy zgłoszenie do 16 czerwca 2025 roku. O</w:t>
      </w:r>
      <w:r>
        <w:rPr>
          <w:rFonts w:eastAsia="Calibri" w:cs="Calibri Light" w:ascii="Lato" w:hAnsi="Lato" w:cstheme="majorHAnsi" w:eastAsiaTheme="minorHAnsi"/>
          <w:color w:val="000000"/>
          <w:sz w:val="20"/>
          <w:szCs w:val="20"/>
          <w:shd w:fill="FFFFFF" w:val="clear"/>
          <w:lang w:eastAsia="en-US" w:bidi="ar-SA"/>
          <w14:ligatures w14:val="standardContextual"/>
        </w:rPr>
        <w:t xml:space="preserve"> wynikach konkursu zdecyduje 4-osobowa Kapituła złożona z osób reprezentujących środowiska kultury z całego województwa. W tym roku zasiadają w niej:</w:t>
      </w:r>
    </w:p>
    <w:p>
      <w:pPr>
        <w:pStyle w:val="Normal"/>
        <w:widowControl/>
        <w:numPr>
          <w:ilvl w:val="1"/>
          <w:numId w:val="2"/>
        </w:numPr>
        <w:shd w:val="clear" w:color="auto" w:fill="FFFFFF"/>
        <w:suppressAutoHyphens w:val="false"/>
        <w:bidi w:val="0"/>
        <w:spacing w:lineRule="auto" w:line="360" w:before="0" w:after="0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 xml:space="preserve">Aneta Jędrzejewska – Wicemarszałek Województwa Kujawsko-Pomorskiego, </w:t>
      </w:r>
    </w:p>
    <w:p>
      <w:pPr>
        <w:pStyle w:val="Normal"/>
        <w:widowControl/>
        <w:numPr>
          <w:ilvl w:val="1"/>
          <w:numId w:val="2"/>
        </w:numPr>
        <w:shd w:val="clear" w:color="auto" w:fill="FFFFFF"/>
        <w:suppressAutoHyphens w:val="false"/>
        <w:bidi w:val="0"/>
        <w:spacing w:lineRule="auto" w:line="360" w:before="0" w:after="0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Honorata Zielińska-Szuster – dyrektorka Gminnego Ośrodka Kultury w Dobrczu</w:t>
        <w:br/>
        <w:t xml:space="preserve">– w roku </w:t>
      </w: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 xml:space="preserve">2024 </w:t>
      </w: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nagrodzona wraz ze swoim zespołem w kategorii Zespół,</w:t>
      </w:r>
    </w:p>
    <w:p>
      <w:pPr>
        <w:pStyle w:val="Normal"/>
        <w:widowControl/>
        <w:numPr>
          <w:ilvl w:val="1"/>
          <w:numId w:val="2"/>
        </w:numPr>
        <w:shd w:val="clear" w:color="auto" w:fill="FFFFFF"/>
        <w:suppressAutoHyphens w:val="false"/>
        <w:bidi w:val="0"/>
        <w:spacing w:lineRule="auto" w:line="360" w:before="0" w:after="0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Dominik Cieślikiewicz – prezes Fundacji Ładowarka – ubiegłoroczny nominowany</w:t>
        <w:br/>
        <w:t>w kategorii Nadzieja animacji kultury,</w:t>
      </w:r>
    </w:p>
    <w:p>
      <w:pPr>
        <w:pStyle w:val="Normal"/>
        <w:widowControl/>
        <w:numPr>
          <w:ilvl w:val="1"/>
          <w:numId w:val="2"/>
        </w:numPr>
        <w:shd w:val="clear" w:color="auto" w:fill="FFFFFF"/>
        <w:suppressAutoHyphens w:val="false"/>
        <w:bidi w:val="0"/>
        <w:spacing w:lineRule="auto" w:line="360" w:before="0" w:after="0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Łukasz Wudarski – dyrektor Wojewódzkiego Ośrodka Animacji Kultury.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auto" w:line="360" w:before="0" w:after="0"/>
        <w:ind w:firstLine="397" w:left="0" w:right="0"/>
        <w:jc w:val="left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Wyłonienie nominowanych w każdej kategorii nastąpi do 30 czerwca, wyłonienie laureatów i laureatek oraz wręczenie nagród podczas Gali Złotych Młynków odbędzie się 22 października o godzinie 19:00 podczas III Kujawsko-Pomorskiego Kongresu Kultury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auto" w:line="360" w:before="0" w:after="0"/>
        <w:ind w:hanging="0" w:left="0" w:right="0"/>
        <w:rPr>
          <w:rFonts w:ascii="Lato" w:hAnsi="Lato" w:eastAsia="Times New Roman" w:cs="Calibri Light" w:cstheme="majorHAnsi"/>
          <w:color w:val="000000"/>
          <w:kern w:val="0"/>
          <w:sz w:val="20"/>
          <w:szCs w:val="20"/>
          <w:lang w:eastAsia="pl-PL" w:bidi="ar-SA"/>
        </w:rPr>
      </w:pPr>
      <w:r>
        <w:rPr>
          <w:rFonts w:eastAsia="Times New Roman" w:cs="Calibri Light" w:cstheme="majorHAnsi" w:ascii="Lato" w:hAnsi="Lato"/>
          <w:color w:val="000000"/>
          <w:kern w:val="0"/>
          <w:sz w:val="20"/>
          <w:szCs w:val="20"/>
          <w:lang w:eastAsia="pl-PL" w:bidi="ar-SA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b/>
          <w:bCs/>
          <w:kern w:val="0"/>
          <w:sz w:val="20"/>
          <w:szCs w:val="20"/>
          <w:lang w:eastAsia="pl-PL" w:bidi="ar-SA"/>
        </w:rPr>
        <w:t>Budowniczki na Kujawach i Pomorzu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ascii="Lato" w:hAnsi="Lato" w:eastAsia="Times New Roman" w:cs="Calibri Light" w:cstheme="majorHAnsi"/>
          <w:kern w:val="0"/>
          <w:sz w:val="20"/>
          <w:szCs w:val="20"/>
          <w:lang w:eastAsia="pl-PL" w:bidi="ar-SA"/>
        </w:rPr>
      </w:pPr>
      <w:r>
        <w:rPr>
          <w:rFonts w:eastAsia="Times New Roman" w:cs="Calibri Light" w:cstheme="majorHAnsi" w:ascii="Lato" w:hAnsi="Lato"/>
          <w:kern w:val="0"/>
          <w:sz w:val="20"/>
          <w:szCs w:val="20"/>
          <w:lang w:eastAsia="pl-PL" w:bidi="ar-SA"/>
        </w:rPr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Ruszył właśnie projekt „Budowniczki na Kujawach i Pomorzu” W ramach projektu WOAK odwiedzi partnerskie ośrodki kultury z województwa kujawsko-pomorskiego ze spektaklem, warsztatami i wystawą. Podczas każdego takiego wyjazdu zostanie pokazany wpływ działalności kobiet na rozwój kultury, edukacji, spraw społecznych. Wojewódzki Ośrodek Animacji Kultury w Toruniu pragnie w ten sposób zainspirować mieszkańców i mieszkanki oraz partnerskie instytucje do zbierania i upamiętniania lokalnych „herstorii”, czyli opowieści o kobietach oraz pokazujących wydarzenia z perspektywy kobiet. Aby odnalezione herstorie nie zaginęły i mogły z nich korzystać kolejne pokolenia powstanie specjalne archiwum cyfrowe, gdzie znajdą się opowieści o odważnych kobietach z naszego regionu. 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firstLine="397" w:left="0" w:right="0"/>
        <w:jc w:val="left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shd w:fill="FFFFFF" w:val="clear"/>
          <w:lang w:eastAsia="pl-PL" w:bidi="ar-SA"/>
        </w:rPr>
        <w:t>Z projektem odwiedzimy 6 miejscowości z których pochodzą odważne kobiety – budowniczki, których herstorie opowiedziane są w spektaklu w reżyserii Pawła Paszty. Oprócz tego szukamy 14 instytucji z miejscowości do 15 tysięcy mieszkańców z województwa kujawsko-pomorskiego w których zagramy spektakl, zorganizujemy warsztaty i pokażemy wystawę Transfer autorstwa Piotra Nykowskiego i Pauli Rudź.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firstLine="397" w:left="0" w:right="0"/>
        <w:jc w:val="left"/>
        <w:textAlignment w:val="baseline"/>
        <w:rPr>
          <w:rFonts w:ascii="Lato" w:hAnsi="Lato"/>
          <w:sz w:val="20"/>
          <w:szCs w:val="20"/>
        </w:rPr>
      </w:pPr>
      <w:r>
        <w:rPr>
          <w:rFonts w:eastAsia="Calibri" w:cs="Calibri Light" w:ascii="Lato" w:hAnsi="Lato" w:cstheme="majorHAnsi" w:eastAsiaTheme="minorHAnsi"/>
          <w:color w:val="000000"/>
          <w:sz w:val="20"/>
          <w:szCs w:val="20"/>
          <w:shd w:fill="FFFFFF" w:val="clear"/>
          <w:lang w:eastAsia="en-US" w:bidi="ar-SA"/>
          <w14:ligatures w14:val="standardContextual"/>
        </w:rPr>
        <w:t xml:space="preserve">Aby zgłosić się jako instytucja partnerska do projektu: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suppressAutoHyphens w:val="false"/>
        <w:bidi w:val="0"/>
        <w:spacing w:lineRule="auto" w:line="360" w:before="0" w:after="0"/>
        <w:contextualSpacing w:val="false"/>
        <w:rPr>
          <w:rFonts w:ascii="Lato" w:hAnsi="Lato"/>
          <w:sz w:val="20"/>
          <w:szCs w:val="20"/>
        </w:rPr>
      </w:pPr>
      <w:r>
        <w:rPr>
          <w:rFonts w:eastAsia="Calibri" w:cs="Calibri Light" w:ascii="Lato" w:hAnsi="Lato" w:cstheme="majorHAnsi" w:eastAsiaTheme="minorHAnsi"/>
          <w:color w:val="000000"/>
          <w:sz w:val="20"/>
          <w:szCs w:val="20"/>
          <w:shd w:fill="FFFFFF" w:val="clear"/>
          <w:lang w:eastAsia="en-US" w:bidi="ar-SA"/>
          <w14:ligatures w14:val="standardContextual"/>
        </w:rPr>
        <w:t>należy wypełnić formularz zgłoszeniowy do 12 maja</w:t>
      </w:r>
      <w:r>
        <w:rPr>
          <w:rFonts w:eastAsia="Calibri" w:cs="Calibri Light" w:ascii="Lato" w:hAnsi="Lato" w:cstheme="majorHAnsi" w:eastAsiaTheme="minorHAnsi"/>
          <w:b/>
          <w:bCs/>
          <w:color w:val="000000"/>
          <w:sz w:val="20"/>
          <w:szCs w:val="20"/>
          <w:shd w:fill="FFFFFF" w:val="clear"/>
          <w:lang w:eastAsia="en-US" w:bidi="ar-SA"/>
          <w14:ligatures w14:val="standardContextual"/>
        </w:rPr>
        <w:t> </w:t>
      </w:r>
      <w:r>
        <w:rPr>
          <w:rFonts w:eastAsia="Calibri" w:cs="Calibri Light" w:ascii="Lato" w:hAnsi="Lato" w:cstheme="majorHAnsi" w:eastAsiaTheme="minorHAnsi"/>
          <w:color w:val="000000"/>
          <w:sz w:val="20"/>
          <w:szCs w:val="20"/>
          <w:shd w:fill="FFFFFF" w:val="clear"/>
          <w:lang w:eastAsia="en-US" w:bidi="ar-SA"/>
          <w14:ligatures w14:val="standardContextual"/>
        </w:rPr>
        <w:t xml:space="preserve">2025 roku – formularz oraz techniczne informacje na temat organizacji spektaklu, wystawy i warsztatów dostępne są na stronie internetowej WOAK-u woak.pl. 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suppressAutoHyphens w:val="false"/>
        <w:bidi w:val="0"/>
        <w:spacing w:lineRule="auto" w:line="360" w:before="0" w:after="0"/>
        <w:contextualSpacing w:val="false"/>
        <w:rPr>
          <w:rFonts w:ascii="Lato" w:hAnsi="Lato"/>
          <w:sz w:val="20"/>
          <w:szCs w:val="20"/>
        </w:rPr>
      </w:pPr>
      <w:r>
        <w:rPr>
          <w:rFonts w:eastAsia="Calibri" w:cs="Calibri Light" w:ascii="Lato" w:hAnsi="Lato" w:cstheme="majorHAnsi" w:eastAsiaTheme="minorHAnsi"/>
          <w:color w:val="000000"/>
          <w:sz w:val="20"/>
          <w:szCs w:val="20"/>
          <w:shd w:fill="FFFFFF" w:val="clear"/>
          <w:lang w:eastAsia="en-US" w:bidi="ar-SA"/>
          <w14:ligatures w14:val="standardContextual"/>
        </w:rPr>
        <w:t>Pier</w:t>
      </w: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wszeństwo w wyborze mają instytucje kultury, których odległość od najbliższego teatru instytucjonalnego jest największa. W przypadku większej liczby zgłoszeń w jednej gminie, zorganizowany będzie jeden pokaz. W związku z tym, instytucje mogą zostać połączone w jedno partnerstwo, aby wspólnie zorganizować wydarzenie. 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suppressAutoHyphens w:val="false"/>
        <w:bidi w:val="0"/>
        <w:spacing w:lineRule="auto" w:line="360" w:before="0" w:after="0"/>
        <w:contextualSpacing w:val="fals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O wynikach naboru wszystkie instytucje, które zgłoszą się do projektu zostaną poinformowane do 25 maja 2025 roku włącznie.  </w:t>
      </w:r>
    </w:p>
    <w:p>
      <w:pPr>
        <w:pStyle w:val="ListParagraph"/>
        <w:widowControl/>
        <w:numPr>
          <w:ilvl w:val="1"/>
          <w:numId w:val="3"/>
        </w:numPr>
        <w:shd w:val="clear" w:color="auto" w:fill="FFFFFF"/>
        <w:suppressAutoHyphens w:val="false"/>
        <w:bidi w:val="0"/>
        <w:spacing w:lineRule="auto" w:line="360" w:before="0" w:after="0"/>
        <w:contextualSpacing w:val="fals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lang w:eastAsia="pl-PL" w:bidi="ar-SA"/>
        </w:rPr>
        <w:t>Udział dla wszystkich instytucji jest darmowy – wymagane jest tylko spełnienie warunków technicznych podanych na stronie WOAK-u.</w:t>
      </w:r>
    </w:p>
    <w:p>
      <w:pPr>
        <w:pStyle w:val="Normal"/>
        <w:widowControl/>
        <w:suppressAutoHyphens w:val="false"/>
        <w:bidi w:val="0"/>
        <w:spacing w:lineRule="auto" w:line="360" w:before="0" w:after="0"/>
        <w:ind w:hanging="0" w:left="0" w:right="0"/>
        <w:jc w:val="center"/>
        <w:textAlignment w:val="baseline"/>
        <w:rPr>
          <w:rFonts w:ascii="Lato" w:hAnsi="Lato"/>
          <w:sz w:val="20"/>
          <w:szCs w:val="20"/>
        </w:rPr>
      </w:pPr>
      <w:r>
        <w:rPr>
          <w:rFonts w:eastAsia="Times New Roman" w:cs="Calibri Light" w:ascii="Lato" w:hAnsi="Lato" w:cstheme="majorHAnsi"/>
          <w:color w:val="000000"/>
          <w:kern w:val="0"/>
          <w:sz w:val="20"/>
          <w:szCs w:val="20"/>
          <w:shd w:fill="FFFFFF" w:val="clear"/>
          <w:lang w:eastAsia="pl-PL" w:bidi="ar-SA"/>
        </w:rPr>
        <w:t xml:space="preserve"> </w:t>
      </w:r>
      <w:r>
        <w:rPr>
          <w:rFonts w:ascii="Lato" w:hAnsi="Lato"/>
          <w:sz w:val="20"/>
          <w:szCs w:val="20"/>
        </w:rPr>
        <w:drawing>
          <wp:inline distT="0" distB="0" distL="0" distR="0">
            <wp:extent cx="3451860" cy="1377950"/>
            <wp:effectExtent l="0" t="0" r="0" b="0"/>
            <wp:docPr id="1" name="Obraz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86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bidi w:val="0"/>
        <w:spacing w:lineRule="auto" w:line="360" w:before="0" w:after="0"/>
        <w:ind w:hanging="0" w:left="0" w:right="0"/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drawing>
          <wp:inline distT="0" distB="0" distL="0" distR="0">
            <wp:extent cx="5760720" cy="584835"/>
            <wp:effectExtent l="0" t="0" r="0" b="0"/>
            <wp:docPr id="2" name="Obraz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417" w:right="1417" w:gutter="0" w:header="567" w:top="1417" w:footer="56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Lato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114300" distR="114300" simplePos="0" locked="0" layoutInCell="0" allowOverlap="1" relativeHeight="7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6808470" cy="756285"/>
          <wp:effectExtent l="0" t="0" r="0" b="0"/>
          <wp:wrapSquare wrapText="bothSides"/>
          <wp:docPr id="5" name="Grafika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3" descr="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847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1" distT="0" distB="0" distL="114300" distR="114300" simplePos="0" locked="0" layoutInCell="0" allowOverlap="1" relativeHeight="7">
          <wp:simplePos x="0" y="0"/>
          <wp:positionH relativeFrom="margin">
            <wp:align>center</wp:align>
          </wp:positionH>
          <wp:positionV relativeFrom="paragraph">
            <wp:posOffset>-378460</wp:posOffset>
          </wp:positionV>
          <wp:extent cx="6808470" cy="756285"/>
          <wp:effectExtent l="0" t="0" r="0" b="0"/>
          <wp:wrapSquare wrapText="bothSides"/>
          <wp:docPr id="6" name="Grafika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a 3" descr="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847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5">
          <wp:simplePos x="0" y="0"/>
          <wp:positionH relativeFrom="margin">
            <wp:posOffset>-328295</wp:posOffset>
          </wp:positionH>
          <wp:positionV relativeFrom="paragraph">
            <wp:posOffset>23495</wp:posOffset>
          </wp:positionV>
          <wp:extent cx="6416040" cy="628015"/>
          <wp:effectExtent l="0" t="0" r="0" b="0"/>
          <wp:wrapSquare wrapText="bothSides"/>
          <wp:docPr id="3" name="Graf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114300" distR="114300" simplePos="0" locked="0" layoutInCell="0" allowOverlap="1" relativeHeight="5">
          <wp:simplePos x="0" y="0"/>
          <wp:positionH relativeFrom="margin">
            <wp:posOffset>-328295</wp:posOffset>
          </wp:positionH>
          <wp:positionV relativeFrom="paragraph">
            <wp:posOffset>23495</wp:posOffset>
          </wp:positionV>
          <wp:extent cx="6416040" cy="628015"/>
          <wp:effectExtent l="0" t="0" r="0" b="0"/>
          <wp:wrapSquare wrapText="bothSides"/>
          <wp:docPr id="4" name="Graf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16040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f5f16"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eastAsia="zh-CN" w:bidi="hi-IN" w:val="pl-PL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a2140"/>
    <w:rPr/>
  </w:style>
  <w:style w:type="character" w:styleId="StopkaZnak" w:customStyle="1">
    <w:name w:val="Stopka Znak"/>
    <w:basedOn w:val="DefaultParagraphFont"/>
    <w:uiPriority w:val="99"/>
    <w:qFormat/>
    <w:rsid w:val="007a2140"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7a2140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  <w14:ligatures w14:val="standardContextual"/>
    </w:rPr>
  </w:style>
  <w:style w:type="paragraph" w:styleId="Footer">
    <w:name w:val="Footer"/>
    <w:basedOn w:val="Normal"/>
    <w:link w:val="StopkaZnak"/>
    <w:uiPriority w:val="99"/>
    <w:unhideWhenUsed/>
    <w:rsid w:val="007a2140"/>
    <w:pPr>
      <w:tabs>
        <w:tab w:val="clear" w:pos="708"/>
        <w:tab w:val="center" w:pos="4536" w:leader="none"/>
        <w:tab w:val="right" w:pos="9072" w:leader="none"/>
      </w:tabs>
      <w:suppressAutoHyphens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 w:bidi="ar-SA"/>
      <w14:ligatures w14:val="standardContextual"/>
    </w:rPr>
  </w:style>
  <w:style w:type="paragraph" w:styleId="ListParagraph">
    <w:name w:val="List Paragraph"/>
    <w:basedOn w:val="Normal"/>
    <w:uiPriority w:val="34"/>
    <w:qFormat/>
    <w:rsid w:val="007045ff"/>
    <w:pPr>
      <w:spacing w:before="0" w:after="0"/>
      <w:ind w:left="720"/>
      <w:contextualSpacing/>
    </w:pPr>
    <w:rPr>
      <w:szCs w:val="21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sv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5.sv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74825-56DA-41FD-BC22-549768FA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LibreOffice/24.2.4.2$Windows_X86_64 LibreOffice_project/51a6219feb6075d9a4c46691dcfe0cd9c4fff3c2</Application>
  <AppVersion>15.0000</AppVersion>
  <Pages>2</Pages>
  <Words>561</Words>
  <Characters>3754</Characters>
  <CharactersWithSpaces>4302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2025-04-16T07:49:00Z</dcterms:created>
  <dc:creator>Nina Marszałek - WOAK</dc:creator>
  <dc:description/>
  <dc:language>pl-PL</dc:language>
  <cp:lastModifiedBy/>
  <cp:lastPrinted>2025-04-16T10:37:54Z</cp:lastPrinted>
  <dcterms:modified xsi:type="dcterms:W3CDTF">2025-04-16T10:38:11Z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